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łącznik nr 1 do zarządzenia nr 3/2024 z dnia 15.02.2024r.</w:t>
      </w:r>
    </w:p>
    <w:tbl>
      <w:tblPr/>
      <w:tblGrid>
        <w:gridCol w:w="4535"/>
        <w:gridCol w:w="4537"/>
      </w:tblGrid>
      <w:tr>
        <w:trPr>
          <w:trHeight w:val="1" w:hRule="atLeast"/>
          <w:jc w:val="left"/>
        </w:trPr>
        <w:tc>
          <w:tcPr>
            <w:tcW w:w="4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Publiczne Przedszkole nr 1 im. Krasnala Ha</w:t>
            </w: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łabały</w:t>
              <w:br/>
              <w:t xml:space="preserve">ul. Kościuszki 6</w:t>
              <w:br/>
              <w:t xml:space="preserve">05-230 Kobyłka</w:t>
              <w:br/>
              <w:t xml:space="preserve">mazowieckie</w:t>
            </w:r>
          </w:p>
        </w:tc>
        <w:tc>
          <w:tcPr>
            <w:tcW w:w="4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7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Koby</w:t>
            </w: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łka, 2024-02-15</w:t>
            </w:r>
          </w:p>
        </w:tc>
      </w:tr>
    </w:tbl>
    <w:p>
      <w:pPr>
        <w:suppressAutoHyphens w:val="true"/>
        <w:spacing w:before="0" w:after="33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  <w:br/>
        <w:br/>
        <w:br/>
      </w: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Polityka oraz procedury ochrony dzieci przed krzywdzeniem</w:t>
      </w:r>
      <w:r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  <w:br/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Preambu</w:t>
      </w: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ła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Dobro i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 dzieci w Publicznym Przedszkolu nr 1 im. Krasnala Hałabały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Koby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 są priorytetem wszelkich działań podejmowanych przez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Przedszkola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rzecz dzieci. Pracownik Przedszkola traktuje dziecko z szacunkiem oraz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ędnia jego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potrzeby. Realizuj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zadania Przedszkola, działa w ramach obowiązującego prawa,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ązujących w nim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ętrznych oraz w ramach posiadanych kompetencji.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Niedopuszczalne jest, by pracownik Przedszkola stosowa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wobec dziecka jakiekolwiek formy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przemocy.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Niniejszy system ochrony dzieci przed krzywdzeniem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procedury interwencji,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profilaktyczne, edukacyjne, zasady zapobiegania krzywdzeniu dzieci, a w sytuacji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gdy do krzywdzenia dosz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zasady zmniejszenia rozmiaru jego skutk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poprzez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łową i efektywną pomoc dziecku oraz wskazuje odpowiedzialność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zatrudnionych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Przedszkolu za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 dzieci do niego uczęszczających.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Polityka ochrony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łoletnich przed krzywdzeniem została opublikowana 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stronie internetowej Przedszkola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www.przedszkole1.kobylka.pl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Jest szeroko promowana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wszystkich pracowników, rodziców oraz dzieci ucz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ęszczających do Przedszkola.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grupy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łoletnich są z poniższymi standardami aktywnie zapoznawane poprzez prowadzone działania edukacyjne i informacyjne.</w:t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Podstawy prawne Polityki ochrony dzieci 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Konwencja o prawach dziecka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ęta przez Zgromadzenie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Narodów Zjednoczonych dnia 20 listopada 1989 r. (Dz. U. z 1991r. Nr 120, poz. 526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Konstytucja Rzeczypospolitej Polskiej z dnia 2 kwietnia 1997 r. (Dz. U. Nr 78, poz. 483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25 lutego 1964 r. Kodeks rodzinny i opieku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ńczy (t.j. Dz. U. z 2020 r. poz. 1359)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28 lipca 2023 r. o zmianie ustawy - Kodeks rodzinny i opieku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ńczy oraz niekt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innych ustaw (Dz. U. poz. 1606).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13 maja 2016 r. o przeciwdzia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łaniu zagrożeniom przestępczością na tle seksualnym (t.j. Dz. U. z 2023 r. poz. 31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29 lipca 2005 r. o przeciwdzia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łaniu przemocy domowej (t.j. Dz. U. z 2021 r. poz. 1249).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6 czerwca 1997 r. Kodeks karny (t.j. Dz. U. z 2022 r. poz. 1138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6 czerwca 1997 r. Kodeks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karnego (t.j. Dz. U. z 2022 r. poz. 1375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23 kwietnia 1964 r. Kodeks cywilny (t.j. Dz. U. z 2022 r. poz. 1360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 -art. 23 i 24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17 listopada 1964 r. Kodeks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cywilnego (t.j. Dz. U. z 2023 r. poz. 1550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10 maja 2018 r. o ochronie danych osobowych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Parlamentu Europejskiego i Rady (UE) 2016/679 z dnia 27 kwietnia 2016 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o ochronie danych)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dnia 4 lutego 1994 r. o prawie autorskim i prawach pokrewnych (art. 81)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</w:t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łowniczek pojęć/objaśnienie termin</w:t>
      </w: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ów u</w:t>
      </w: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żywanych w dokumencie Polityka ochrony dzieci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Pracownikiem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jest osoba zatrudniona na podstawie umowy o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umowy cywilnoprawnej a także wolontariusz, stażysta i praktykant.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Instytucja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żda instytucja świadcząca usługi dzieciom lub działająca na rzecz dzieci.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Dyrektor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osoba (lub podmiot), która w strukturze Przedszkola jest uprawniona do podejmowania decyzji.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Dzieckiem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jest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żda osoba do ukończenia 18. roku życia.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Opiekunem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dziecka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jest osoba uprawniona do reprezentacji dziecka, w szczególno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jego rodzic lub opiekun prawny. W myśl niniejszego dokumentu opiekunem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rodzic zastępczy.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Zgoda rodzica dziecka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oznacza zgod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co najmniej jednego z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dziecka. Jednak w przypadku braku porozumienia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rodzicami dziecka należy poinformować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konieczno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rozstrzygnięcia sprawy przez sąd rodzinny.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krzywdzenie dziecka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rozumieć popełnienie czynu zabronionego lub czynu karalnego na szkodę dziecka przez jakąkolwiek osobę, w tym pracownika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ówki, lub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 dobra dziecka, w tym jego zaniedbywanie.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Osoby odpowiedzialne za Polityk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ochrony dzieci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 krzywdzeniem to wyznaczone przez Dyrektora Przedszkola pracownicy sprawujący nadz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 nad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Polityki ochrony dzieci przed krzywdzeniem w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ówce.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Osoba odpowiedzialna za dost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 do Internetu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informatyk zatrudniony przez Dyrektora Przedszkola bądź osoba oddelegowana z Urzędu Miasta w Kobyłce. </w:t>
      </w:r>
    </w:p>
    <w:p>
      <w:pPr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osobowe dziecka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wszelkie informacje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żliwiające identyfikację dziecka.</w:t>
      </w:r>
      <w:r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II</w:t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Rozpoznawanie i reagowanie na czynniki ryzyka krzywdzenia dzieci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2.</w:t>
      </w:r>
    </w:p>
    <w:p>
      <w:pPr>
        <w:numPr>
          <w:ilvl w:val="0"/>
          <w:numId w:val="2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Rekrutacja pracowników Przedszkola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zgodnie z zasadami bezpiecznej rekrutacji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Zasady Rekrutacji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Załącznik nr 1 do niniejszej Polityki.</w:t>
      </w:r>
    </w:p>
    <w:p>
      <w:pPr>
        <w:numPr>
          <w:ilvl w:val="0"/>
          <w:numId w:val="2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Pracownicy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stosują zasady bezpiecznych relacji pracownik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dziecko i dziecko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dziecko ustalone w Przedszkolu. Zasady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Załącznik nr 2 do niniejszej Polityki.</w:t>
      </w:r>
    </w:p>
    <w:p>
      <w:pPr>
        <w:numPr>
          <w:ilvl w:val="0"/>
          <w:numId w:val="2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Pracownicy Przedszkola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wiedzę na temat czynnik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ryzyka i symptomów krzywdzenia dzieci i zwracaj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 nie uwagę w ramach wykonywanych obowiązk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2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Pracownicy Przedszkola monitoruj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sytuację i dobrostan dziecka.</w:t>
      </w:r>
    </w:p>
    <w:p>
      <w:pPr>
        <w:numPr>
          <w:ilvl w:val="0"/>
          <w:numId w:val="2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zidentyfikowania czynników ryzyka pracownicy Przedszkola podejmuj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rozmowę z rodzicami, przekazując informacje na temat dostępnej oferty wsparcia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motywuj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ich do szukania dla siebie pomocy.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III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rekrutacji pracowników (wolontariuszy/sta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ów/praktykantów)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3.</w:t>
      </w:r>
    </w:p>
    <w:p>
      <w:pPr>
        <w:numPr>
          <w:ilvl w:val="0"/>
          <w:numId w:val="28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Rekrutacja pracowników placówki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zgodnie z zasadami bezpiecznej rekrutacji personelu. Zasady stanowią Załącznik nr 1 do niniejszej Polityki.</w:t>
        <w:br/>
        <w:br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bezpiecznych relacji pomi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ędzy pracownikami (wolontariuszami, stażystami, praktykantami) plac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ówki a 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ćmi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4.</w:t>
      </w:r>
    </w:p>
    <w:p>
      <w:pPr>
        <w:numPr>
          <w:ilvl w:val="0"/>
          <w:numId w:val="30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Pracownicy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stosuje zasady bezpiecznych relacji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dziecko ustalone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placówce. Zasady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Załącznik nr 2 do niniejszej Polityki.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IV</w:t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Procedury interwencji w przypadku podejrzenia krzywdzenia dziecka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5.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placówce, w momencie powzi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informacji o podejrzeniu krzywdzenia dziecka, zostaje wyznaczona przez Dyrektora Przedszkola osoba odpowiedzialna za całą procedurę związana z tym zgłoszeniem (powinna być to osoba,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powzi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ęła informacje bądź pracuje bezpośrednio z dzieckiem). Każdorazowo zostaje powołany Zesp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Interwencyjny w skład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wchodz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osoby pracujące z dzieckiem (m.in. pedagog specjalny, psycholog, wychowawca dziecka, kierownictwo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ówki, inni pracownicy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wiedzę o krzywdzeniu dziecka lub o dziecku).  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powzi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informacji przez pracownika niepedagogicznego o podejrzeniu, że dziecko jest krzywdzone, pracownik ma obowiązek sporządzenia notatki służbowej i przekazania uzyskanej informacji Dyrektorowi Przedszkola / wychowawcy / psychologowi / pedagogowi specjalnemu.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Poprzez krzywdzenie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łoletniego uznajemy: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720" w:firstLine="13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świadczanie przez dziecko przemocy z uszczerbkiem na zdrowiu, wykorzystania seksualnego lub/i zagrożenie jego życia;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720" w:firstLine="13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jest pokrzywdzone innymi typami przestępstw;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720" w:firstLine="13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Zaniedbanie lub/i rodzic/opiekun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łoletniego jest niewydolny wychowawczo (np. małoletni chodzi w nieadekwatnych do pogody ubraniach, opuszcza miejsce zamieszkania bez nadzoru osoby dorosłej);</w:t>
      </w:r>
    </w:p>
    <w:p>
      <w:pPr>
        <w:numPr>
          <w:ilvl w:val="0"/>
          <w:numId w:val="36"/>
        </w:numPr>
        <w:tabs>
          <w:tab w:val="left" w:pos="0" w:leader="none"/>
        </w:tabs>
        <w:suppressAutoHyphens w:val="true"/>
        <w:spacing w:before="0" w:after="0" w:line="240"/>
        <w:ind w:right="0" w:left="720" w:firstLine="13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świadczanie jednorazowo innej przemocy fizycznej (np. klapsy, szturchanie, popychanie), przemocy psychicznej (np. poniżanie, dyskryminacja, ośmieszanie) lub innych niepokojących zachowań (tj. krzyk, niestosowne komentarze)</w:t>
      </w:r>
    </w:p>
    <w:p>
      <w:pPr>
        <w:suppressAutoHyphens w:val="true"/>
        <w:spacing w:before="0" w:after="0" w:line="240"/>
        <w:ind w:right="0" w:left="99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§ 6.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uzyskaniu informacji Dyrektor Przedszkola / psycholog / pedagog specjalny wzywa opiekunów dziecka, którego krzywdzenie podejrzewa i informuje ich o podejrzeniu.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Wyznaczona przez Dyrektora Przedszkola osoba 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ądza opis sytuacji przedszkolnej i rodzinnej dziecka na podstawie rozm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dzieckiem, nauczycielami,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rodzicami. Następnie Zesp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interwencyjny sporządza plan pomocy dziecku.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 pomocy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łoletniemu powinien zawierać: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 małoletniego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Imiona i nazwiska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Interwencyjnego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Powód opracowania planu pomocy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Rozpoznanie sytuacji dziecka po ujawnieniu krzywdzenia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 wsparcia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łoletniego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Zakres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łdziałania Przedszkola z podmiotami zewnętrznymi na rzecz wsparcia dziecka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Zakres, wymiar godzin i okres wsparcia udzielonego dziecku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Formy i metody wsparcia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Ocena efektywno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wsparcia udzielonego dziecku.</w:t>
      </w:r>
    </w:p>
    <w:p>
      <w:pPr>
        <w:numPr>
          <w:ilvl w:val="0"/>
          <w:numId w:val="39"/>
        </w:numPr>
        <w:tabs>
          <w:tab w:val="left" w:pos="0" w:leader="none"/>
        </w:tabs>
        <w:suppressAutoHyphens w:val="true"/>
        <w:spacing w:before="0" w:after="0" w:line="240"/>
        <w:ind w:right="0" w:left="502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 pomocy dziecku jest przedstawiony przez Dyrektora Przedszkola,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osobę wyznaczoną, rodzicom/opiekunom z zaleceniem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 przy jego realizacji.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§ 7.</w:t>
      </w:r>
    </w:p>
    <w:p>
      <w:pPr>
        <w:numPr>
          <w:ilvl w:val="0"/>
          <w:numId w:val="4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przypadkach bardziej skomplikowanych (dotycz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wykorzystywania seksualnego oraz znęcania się fizycznego i psychicznego o dużym nasileniu) Dyrektor Przedszkola niezwłocznie powołuje zesp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interwencyjny.</w:t>
      </w:r>
    </w:p>
    <w:p>
      <w:pPr>
        <w:numPr>
          <w:ilvl w:val="0"/>
          <w:numId w:val="4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gdy podejrzenie krzywdzenia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łosili opiekunowie dziecka, powołanie zespołu jest obligatoryjne. Zesp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interwencyjny wzywa opiekun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dziecka na spotkanie wyja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śniające, podczas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zaproponować opiekunom zdiagnozowanie zgłaszanego podejrzenia w zewnętrznej, bezstronnej instytucji. Ze spotkania sporządza się protok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ł. W przypadku gdy zgłoszone podejrzenie nie zostanie potwierdzone, Dyrektor Przedszkola informuje o tym fakcie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dziecka na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śmie. </w:t>
      </w:r>
    </w:p>
    <w:p>
      <w:pPr>
        <w:numPr>
          <w:ilvl w:val="0"/>
          <w:numId w:val="4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Rodzic ma prawo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łosić się do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ówek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łających na terenie Miasta Kobyłka oraz innych instytucji świadczących pomoc osobom pokrzywdzonym. Są to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tj.: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 Pomocy Rodzinie prowadzony przez Stowarzyszeni Quznia; 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środek Pomocy Społecznej, ul. Gen. Franciszka Żymirskiego 2;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927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 Miasta Kobyłka, ul. Wołomińska 1b (Bezpłatna pomoc psychoterapeutyczna dla mieszkańc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miasta Koby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łka)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PUNKT PORADNICTWA RODZINNEGO w 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Miasta Kobyłka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 SPECJALISTYCZNEGO PORADNICTWA RODZINNEGO Prowadzony przez Fundacj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Ogarnij Emocje z Wołomina, ul. Żelazna (pawilon 1b, piętro)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Lokalny Punkt Pomocy Pokrzywdzonym Przest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ępstwem Prowadzony przez Fundację Compassio w Wołominie, ul. Wileńska 51 pok. 108(budynek a)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§ 8.</w:t>
      </w:r>
    </w:p>
    <w:p>
      <w:pPr>
        <w:numPr>
          <w:ilvl w:val="0"/>
          <w:numId w:val="47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osoba przez niego wyznaczona m.in. psycholog/pedagog specjalny informuje opiekun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podejrzenia krzywdzenia dziecka do odpowiedniej instytucji (prokuratura/policja lub sąd rodzinny, ośrodek pomocy społecznej bądź przewodniczący zespołu interdyscyplinarnego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procedura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Niebieskie Karty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od zdiagnozowanego typu krzywdzenia i skorelowanej z nim interwencji).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Uwaga!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Pracownicy Przedszkola uczestnicz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 w realizacji procedury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Niebieskiej Karty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w tym uprawnieni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 do samodzielnego jej wszczynania. </w:t>
      </w:r>
    </w:p>
    <w:p>
      <w:pPr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poinformowaniu opiekunów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zgodnie z punktem poprzedzaj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Dyrektor Przedszkola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zawiadomienie o podejrzeniu przestępstwa do prokuratury/policji (wz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 wniosku stanowi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8) i wniosek o wgląd w sytuację rodziny do sądu rejonowego wydziału rodzinnego i nieletnich (wz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 wniosku stanowi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9), ośrodka pomocy społecznej i wypełniony formularz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Niebieska Karta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przekazuje do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zespołu interdyscyplinarnego w zaklejonej kopercie. </w:t>
      </w:r>
    </w:p>
    <w:p>
      <w:pPr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Dalszy tok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leży w kompetencjach instytucji wskazanych w punkcie poprzedzającym. </w:t>
      </w:r>
    </w:p>
    <w:p>
      <w:pPr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gdy podejrzenie krzywdzenia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łosili opiekunowie dziecka, a podejrzenie to nie zostało potwierdzone, należy o tym fakcie poinformować opiekun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dziecka na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śmie.</w:t>
      </w:r>
    </w:p>
    <w:p>
      <w:pPr>
        <w:suppressAutoHyphens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§ 9. </w:t>
      </w:r>
    </w:p>
    <w:p>
      <w:pPr>
        <w:numPr>
          <w:ilvl w:val="0"/>
          <w:numId w:val="52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przebiegu interwencji 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ądza się kartę interwencji,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wzór stanowi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niniejszej Polityki oraz dopisuje się do rejestru zgłoszonych incydent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zdarze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zagrażających dobru małoletniemu(załącznik nr 7). Kartę załącza się do dokumentacji dotyczącej Standard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Ochrony Dzieci w Publicznym Przedszkolu nr 1 im. Krasnala 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łabały w Kobyłce, znajdującej się w gabinecie Dyrektora. Do akt osobowych dziecka dołącza się notatkę informującą o danej interwencji.</w:t>
      </w:r>
    </w:p>
    <w:p>
      <w:pPr>
        <w:numPr>
          <w:ilvl w:val="0"/>
          <w:numId w:val="52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Wszelkie dokumenty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ze Standardami Ochrony Dzieci, w tym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zgłoszone i ujawnione sprawy oraz interwencje, przechowywane są w gabinecie Dyrektora Przedszkola.</w:t>
      </w:r>
    </w:p>
    <w:p>
      <w:pPr>
        <w:numPr>
          <w:ilvl w:val="0"/>
          <w:numId w:val="52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Wszyscy pracownicy placówki i inne osoby, które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wykonywaniem obowiązk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łużbowych podjęły informację o krzywdzeniu dziecka lub informacje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tym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ązane, są zobowiązane do zachowania tych informacji w tajemnicy, wyłączając informacje przekazywane uprawnionym instytucjom w ramach działań interwencyjnych.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</w:t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Zasady ochrony danych osobowych oraz wizerunku dzieci w placówce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10.</w:t>
      </w:r>
    </w:p>
    <w:p>
      <w:pPr>
        <w:numPr>
          <w:ilvl w:val="0"/>
          <w:numId w:val="58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Przedszkole, uznaj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prawo dziecka do prywatności i ochrony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óbr osobistych, zapewnia ochron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wizerunku dziecka, zapewnia najwyższe standardy ochrony danych osobowych małoletnich zgodnie z obowiązującymi przepisami prawa.</w:t>
      </w:r>
    </w:p>
    <w:p>
      <w:pPr>
        <w:numPr>
          <w:ilvl w:val="0"/>
          <w:numId w:val="58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Wytyczne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zasad ochrony wizerunku dziecka i danych osobowych dzieci stanowią Załącznik nr 4 do niniejszej Polityki.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§ 11. </w:t>
      </w:r>
    </w:p>
    <w:p>
      <w:pPr>
        <w:numPr>
          <w:ilvl w:val="0"/>
          <w:numId w:val="60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Przedszkola nie wolno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żliwiać przedstawicielom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utrwalania wizerunku dziecka (filmowanie, fotografowanie, nagrywanie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łosu dziecka) na jego terenie bez pisemnej zgody rodzica lub opiekuna prawnego dziecka.</w:t>
      </w:r>
    </w:p>
    <w:p>
      <w:pPr>
        <w:numPr>
          <w:ilvl w:val="0"/>
          <w:numId w:val="60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uzyskania zgody, o której mowa w punkcie 1, pracownik Przedszkola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Przedszkola (niniejsza zgoda obejmuje wszelkie formy publikacji,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plakaty reklamowe, ulotki, drukowane materiały promocyjne, reklamę w gazetach i czasopismach oraz w Internecie itp.), lub ustalić procedurę uzyskania zgody. Niedopuszczalne jest podanie przedstawicielowi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danych kontaktowych do opiekuna dziecka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bez wiedzy i zgody tego opiekuna.</w:t>
      </w:r>
    </w:p>
    <w:p>
      <w:pPr>
        <w:suppressAutoHyphens w:val="true"/>
        <w:spacing w:before="0" w:after="0" w:line="240"/>
        <w:ind w:right="0" w:left="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12.</w:t>
      </w:r>
    </w:p>
    <w:p>
      <w:pPr>
        <w:numPr>
          <w:ilvl w:val="0"/>
          <w:numId w:val="62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Upublicznienie przez pracownika Przedszkola wizerunku dziecka utrwalonego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jakiejkolwiek formie (fotografia, nagranie audio-wideo) wymaga pisemnej zgody rodzica lub opiekuna prawnego dziecka.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Uwaga!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żeli wizerunek dziecka stanowi jedynie szczeg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całości, takiej jak: zgromadzenie, krajobraz, publiczna impreza, zgoda rodzica lub opiekuna prawnego na utrwalanie wizerunku dziecka nie jest wymagana.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bezpiecznego korzystania z Internetu i mediów elektronicznych w Przedszkolu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13.</w:t>
      </w:r>
    </w:p>
    <w:p>
      <w:pPr>
        <w:numPr>
          <w:ilvl w:val="0"/>
          <w:numId w:val="68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Przedszkole, zapewniaj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dzieciom dostęp do Internetu, podejmuje działania zabezpieczające małoletnich przed dostępem do treści,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stanowić zagrożenie dla ich prawidłowego rozwoju.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instaluje i aktualizuje oprogramowanie zabezpieczające. Zasady bezpiecznego korzystania z Internetu i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elektronicznych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Załącznik nr 5 do niniejszej Polityki.</w:t>
      </w:r>
    </w:p>
    <w:p>
      <w:pPr>
        <w:numPr>
          <w:ilvl w:val="0"/>
          <w:numId w:val="68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terenie Przedszkola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 dziecka do Internetu możliwy jest tylko pod nadzorem pracownika Przedszkola na zajęciach z wykorzystaniem urządzeń z dostępem do Internetu.</w:t>
      </w:r>
    </w:p>
    <w:p>
      <w:pPr>
        <w:numPr>
          <w:ilvl w:val="0"/>
          <w:numId w:val="68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gdy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 do Internetu w Przedszkolu realizowany jest pod nadzorem pracownika Przedszkola jest on zobowiązany informować dzieci o zasadach bezpiecznego korzystania z Internetu oraz czuwać nad ich bezpieczeństwem podczas korzystania z Internetu w czasie zajęć.</w:t>
      </w:r>
    </w:p>
    <w:p>
      <w:pPr>
        <w:numPr>
          <w:ilvl w:val="0"/>
          <w:numId w:val="68"/>
        </w:numPr>
        <w:tabs>
          <w:tab w:val="left" w:pos="0" w:leader="none"/>
        </w:tabs>
        <w:suppressAutoHyphens w:val="true"/>
        <w:spacing w:before="0" w:after="0" w:line="240"/>
        <w:ind w:right="0" w:left="567" w:hanging="4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 zapewnia 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dostęp do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edukacyjnych,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bezpiecznego korzystania z Internetu, przy komputerach.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14.</w:t>
      </w:r>
    </w:p>
    <w:p>
      <w:pPr>
        <w:numPr>
          <w:ilvl w:val="0"/>
          <w:numId w:val="72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odpowiedzialna za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 do Internetu w Przedszkolu w porozumieniu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Dyrektorem Przedszkola zabezpiecza sie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przed niebezpiecznymi treściami, poprzez instalację i aktualizację odpowiedniego, nowoczesnego oprogramowania.</w:t>
      </w:r>
    </w:p>
    <w:p>
      <w:pPr>
        <w:numPr>
          <w:ilvl w:val="0"/>
          <w:numId w:val="7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Wymienione w punkcie 1 oprogramowanie jest aktualizowane w miar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potrzeb.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VII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Wycieczki i wydarzenia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15</w:t>
      </w:r>
    </w:p>
    <w:p>
      <w:pPr>
        <w:numPr>
          <w:ilvl w:val="0"/>
          <w:numId w:val="77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Pracownik, zwany dalej Kierownikiem wycieczki, organizuj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wycieczkę/wyjście po za teren Przedszkola jest zobowiązany do skontaktowania się z docelową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uzyskania informacji czy w danym miejscu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Standardy Ochrony Dzieci. Jeśli to możliwe Kierownik wycieczki kontaktuje się z daną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mailowo, dołączone oświadczenie dołącza do dokumentacji.</w:t>
      </w:r>
    </w:p>
    <w:p>
      <w:pPr>
        <w:numPr>
          <w:ilvl w:val="0"/>
          <w:numId w:val="79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Osoby z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ątrz chcące przeprowadzić zajęcia/warsztaty na terenie przedszkola zobowiązane są do zapoznania się ze Standardami Ochrony Dzieci w Publicznym Przedszkolu nr 1 im. Krasnala Hałabały oraz podpisania niezbędnych oświadczeń.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VIII</w:t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Monitoring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16.</w:t>
      </w:r>
    </w:p>
    <w:p>
      <w:pPr>
        <w:numPr>
          <w:ilvl w:val="0"/>
          <w:numId w:val="8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wyznacza w danym roku przedszkolnym osoby odpowiedzialne za Standardy Ochrony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łoletnich w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ówce.</w:t>
      </w:r>
    </w:p>
    <w:p>
      <w:pPr>
        <w:numPr>
          <w:ilvl w:val="0"/>
          <w:numId w:val="8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Wybrane osoby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odpowiedzialne za monitorowanie realizacji Polityki, za reagowanie na sygnały naruszenia Polityki oraz za proponowanie zmian w Polityce.</w:t>
      </w:r>
    </w:p>
    <w:p>
      <w:pPr>
        <w:numPr>
          <w:ilvl w:val="0"/>
          <w:numId w:val="8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osoby przeprowadzaj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personelu placówki, raz na 12 miesi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ęcy, ankietę monitorującą poziom realizacji Polityki (wz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 ankiety stanowi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6 do niniejszej Polityki). W ankiecie pracownicy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proponować zmiany Polityki oraz wskazywać naruszenia Polityki w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ówce.</w:t>
      </w:r>
    </w:p>
    <w:p>
      <w:pPr>
        <w:numPr>
          <w:ilvl w:val="0"/>
          <w:numId w:val="84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Osoby, o których mowa w pkt. 1 niniejszego paragrafu, dokonuj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opracowania wypełnionych przez personel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ankiet. 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ądzają na tej podstawie raport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monitoringu, który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ępnie przekazują Dyrektorowi Przedszkola.</w:t>
      </w:r>
    </w:p>
    <w:p>
      <w:pPr>
        <w:numPr>
          <w:ilvl w:val="0"/>
          <w:numId w:val="86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Analiza i ewaluacja Standardów Ochrony Dzieci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ze zmianami w prawie dokonywana jest nie rzadziej niż co dwa lata.</w:t>
      </w:r>
    </w:p>
    <w:p>
      <w:pPr>
        <w:numPr>
          <w:ilvl w:val="0"/>
          <w:numId w:val="86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wprowadza do Polityki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ędne zmiany i ogłasza personelowi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ówki, rodzicom/opiekunom prawnym oraz dzieciom ucz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ęszczających do Przedszkola, nowe brzmienie Polityki.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IX</w:t>
      </w:r>
    </w:p>
    <w:p>
      <w:pPr>
        <w:suppressAutoHyphens w:val="true"/>
        <w:spacing w:before="0" w:after="240" w:line="270"/>
        <w:ind w:right="0" w:left="0" w:firstLine="0"/>
        <w:jc w:val="center"/>
        <w:rPr>
          <w:rFonts w:ascii="Times New Roman" w:hAnsi="Times New Roman" w:cs="Times New Roman" w:eastAsia="Times New Roman"/>
          <w:color w:val="32323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Przepisy ko</w:t>
      </w: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24"/>
          <w:shd w:fill="auto" w:val="clear"/>
        </w:rPr>
        <w:t xml:space="preserve">ńcowe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17.</w:t>
      </w:r>
    </w:p>
    <w:p>
      <w:pPr>
        <w:numPr>
          <w:ilvl w:val="0"/>
          <w:numId w:val="91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Polityka wchodzi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życie z dniem jej ogłoszenia.</w:t>
      </w:r>
    </w:p>
    <w:p>
      <w:pPr>
        <w:numPr>
          <w:ilvl w:val="0"/>
          <w:numId w:val="91"/>
        </w:numPr>
        <w:tabs>
          <w:tab w:val="left" w:pos="0" w:leader="none"/>
        </w:tabs>
        <w:suppressAutoHyphens w:val="true"/>
        <w:spacing w:before="0" w:after="0" w:line="240"/>
        <w:ind w:right="0" w:left="567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następuje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ępny dla personelu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ówki, rodziców oraz dzieci ucz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ęszczających do Przedszkola,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poprzez wywieszenie w miejscu ogłoszeń dla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poprzez 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jej tekstu drogą elektroniczną oraz poprzez zamieszczenie na stronie internetowej i wywieszenie w widocznym miejscu 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siedzibie Przedszkola wraz ze skrócon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czytelną wersją przeznaczoną dla dzieci. </w:t>
        <w:br/>
        <w:br/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1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bezpiecznej rekrutacji pracowników/wolontariuszy/sta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ów/praktykantów </w:t>
        <w:br/>
        <w:t xml:space="preserve">w Publicznym Przedszkolu nr 1 im. Krasnala Ha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łabały w Kobyłce 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 zatrudnieniem pracownika w Przedszkolu poznaje dane osobowe, kwalifikacje kandydata/kandydatki, w tym stosunek do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podzielanych przez Przedszkole, takich jak ochrona praw dzieci i szacunek do ich godności.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dba o to, by osoby przez niego zatrudnione (w tym osoby pracuj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na podstawie umowy zlecenia oraz wolontariusze/stażyści/praktykanci) posiadały odpowiednie kwalifikacje do pracy z dziećmi oraz były dla nich bezpieczne.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Aby sprawdzi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powyższe, w tym stosunek osoby zatrudnianej do dzieci i podzielania wartości związanych z szacunkiem wobec nich oraz przestrzegania ich praw, Dyrektor Przedszkola może żądać danych (w tym 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ów)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ących: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łcenia,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kwalifikacji zawodowych,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przebiegu dotychczasowego zatrudnienia kandydata/kandydatki.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żdym przypadku Dyrektor Przedszkola musi posiadać dane pozwalające zidentyfikować osobę przez niego zatrudnioną, niezależnie od podstawy zatrudnienia. Powinien znać: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(imiona) i nazwisko,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urodzenia,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kontaktowe osoby zatrudnianej.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poprosić kandydata/kandydatkę o przedstawienie referencji </w:t>
        <w:br/>
        <w:t xml:space="preserve">z poprzednich miejsc zatrudnienia lub o podanie kontaktu do osoby,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takie referencje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wystawić. Podstawą dostarczenia referencji lub kontaktu do byłych pracodawc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jest zgoda kandydata/kandydatki. Niepodanie tych danych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nie powinno rodzi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dla tej osoby negatywnych konsekwencji w postaci np. odmowy zatrudnienia wyłącznie w oparciu o tę podstawę. Przedszkole nie może bowiem samodzielnie prowadzić tzw. screeningu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ubiegaj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się o pracę, gdyż ograniczają ją w tym zakresie przepisy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o ochronie danych osobowych (RODO) oraz Kodeksu pracy.</w:t>
      </w:r>
    </w:p>
    <w:p>
      <w:pPr>
        <w:numPr>
          <w:ilvl w:val="0"/>
          <w:numId w:val="9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przed zatrudnieniem kandydata/kandydatki uzyskuje jego/jej dane osobowe, w tym dane potrzebne do sprawdzenia danych w Rejestrze Sprawców Przest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ępstw na Tle Seksualnym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Rejestr z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ępem ograniczonym. </w:t>
      </w:r>
    </w:p>
    <w:p>
      <w:pPr>
        <w:suppressAutoHyphens w:val="true"/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Uwaga! Przed dopuszczeniem osoby zatrudnianej do wykonywania 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ązanych z wychowaniem, edukacją, wypoczynkiem, leczeniem małoletnich lub opieką nad nimi Przedszkole jest zobowiązane sprawdzić osobę zatrudnianą </w:t>
        <w:br/>
        <w:t xml:space="preserve">w Rejestrze Sprawc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Przest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ępstw na Tle Seksualnym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Rejestr z dost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ępem ograniczonym oraz Rejestr 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ób, w stosunku do których 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ństwowa Komisja do spraw przeciwdziałania wykorzystaniu seksualnemu małoletnich poniżej lat 15 wydała postanowienie o wpisie w Rejestrze. Rejestr dostępny jest na stronie: rps.ms.gov.pl. By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óc uzyska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informacje z rejestru z dostępem ograniczonym, konieczne jest uprzednie założenie profilu Przedszkola.</w:t>
      </w:r>
    </w:p>
    <w:p>
      <w:pPr>
        <w:suppressAutoHyphens w:val="true"/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Aby sprawdzi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osobę w Rejestrze, dyrektor Przedszkola potrzebuje następujących danych kandydata/kandydatki: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nazwisko,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urodzenia,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PESEL,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nazwisko rodowe,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ojca,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matki.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Wydruk z Rejestru przechowuje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aktach osobowych pracownika lub analogicznej dokumentacji dotyczącej wolontariusza/stażysty/praktykanta lub osoby zatrudnionej </w:t>
        <w:br/>
        <w:t xml:space="preserve">w oparciu o umowę cywilnoprawną.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przed zatrudnieniem kandydata/kandydatki na nauczyciela uzyskuje od kandydata/kandydatki informacj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Krajowego Rejestru Karnego o niekaralności </w:t>
        <w:br/>
        <w:t xml:space="preserve">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osoba posiada obywatelstwo inne niż polskie,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ówczas powinna przed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łożyć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informację z rejestru karnego państwa obywatelstwa uzyskiwaną do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zawodowej lub wolontariackiej związanej z kontaktami z dziećmi, bądź informację z rejestru karnego, jeżeli prawo tego państwa nie przewiduje wydawania informacji dla ww.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kandydata/kandydatki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osoby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obywatelstwo inne niż polskie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Dyrektor pobiera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oświadczenie o państwie lub państwach zamieszkiwania w ciągu ostatnich 20 lat, innych niż Rzeczypospolita Polska i państwo obywatelstwa, złożone pod rygorem odpowiedzialności karnej.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prawo państwa,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ma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przedłożona informacja o niekaralności, nie przewiduje wydawania takiej informacji lub nie prowadzi rejestru karnego,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ówczas kandydat/kandydatka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 są złożyć pod rygorem odpowiedzialności karnej oświadczenie o tym fakcie wraz z oświadczeniem, że nie byli prawomocnie skazani </w:t>
        <w:br/>
        <w:t xml:space="preserve">w tym państwie za czyny zabronione odpowiadające przestępstwom określonym </w:t>
        <w:br/>
        <w:t xml:space="preserve">w rozdziale XIX i XXV Kodeksu karnego, w art. 189a i art. 207 Kodeksu karnego oraz </w:t>
        <w:br/>
        <w:t xml:space="preserve">w ustawie o przeciwdziałaniu narkomanii, oraz nie wydano wobec nich innego orzeczenia,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stwierdzono,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dopuścili się takich czyn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zabronionych, oraz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nie ma obowiązku wynikającego z orzeczenia sądu, innego uprawnionego organu lub ustawy stosowania się do zakazu zajmowania wszelkich lub określonych stanowisk, wykonywania wszelkich lub określonych zawod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albo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związanych </w:t>
        <w:br/>
        <w:t xml:space="preserve">z wychowaniem, edukacją, wypoczynkiem, leczeniem, świadczeniem porad psychologicznych, rozwojem duchowym, uprawianiem sportu lub realizacją innych zainteresowań przez małoletnich lub z opieką nad nimi.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świadczeniami składanymi pod rygorem odpowiedzialności karnej składa się oświadczenie o następującej treści: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świadomy/-a odpowiedzialności karnej </w:t>
        <w:br/>
        <w:t xml:space="preserve">za złożenie fałszywego oświadczenia. Oświadczenie to zastępuje pouczenie organu </w:t>
        <w:br/>
        <w:t xml:space="preserve">o odpowiedzialności karnej za złożenie fałszywego oświadczenia”.</w:t>
      </w:r>
    </w:p>
    <w:p>
      <w:pPr>
        <w:numPr>
          <w:ilvl w:val="0"/>
          <w:numId w:val="10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do domagania się od osoby zatrudnianej na stanowisku nauczyciela zaświadczenia z Krajowego Rejestru Karnego. </w:t>
      </w:r>
    </w:p>
    <w:p>
      <w:pPr>
        <w:suppressAutoHyphens w:val="true"/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Uwaga!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świadczenia z KRK można domagać się wyłącznie w przypadkach, gdy przepisy prawa wprost wskazują, że pracownik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w zawodach lub na danych stanowiskach 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ązuje wym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óg niekaralno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ści. Wym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óg niekaralno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obowiązuje m.in. pracownik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samorz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ądowych oraz nauczycieli, w tym nauczycieli zatrudnionych w plac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ówkach publicznych oraz niepublicznych.</w:t>
      </w:r>
    </w:p>
    <w:p>
      <w:pPr>
        <w:numPr>
          <w:ilvl w:val="0"/>
          <w:numId w:val="104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przedstawienia zaświadczenia z Krajowego Rejestru Karnego dyrektor uzyskuje od kandydata/kandydatki oświadczenie o niekaralności oraz </w:t>
        <w:br/>
        <w:t xml:space="preserve">o toczących się postępowaniach przygotowawczych, sądowych i dyscyplinarnych.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36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Publiczne Przedszkole nr 1 im. Krasnala Ha</w:t>
            </w: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łabały</w:t>
              <w:br/>
              <w:t xml:space="preserve">ul. Kościuszki 6</w:t>
              <w:br/>
              <w:t xml:space="preserve">05-230 Kobyłka</w:t>
              <w:br/>
              <w:t xml:space="preserve">mazowieckie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 </w:t>
        <w:br/>
        <w:t xml:space="preserve">miejsce i data</w:t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 NIEKARALNOŚCI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Ja,............................................................ zamieszka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ła/ły .............................................................</w:t>
        <w:br/>
        <w:br/>
        <w:t xml:space="preserve">nr PESEL ....................................................../nr paszportu .......................................................... 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w państwie ……………………………………………………..……. nie jest prowadzony rejestr karny/ nie wydaje się informacji z rejestru karnego. 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nie byłem/am prawomocnie skazany/a za czyny zabronione odpowiadające przestępstwom określonym w rozdziale XIX i XXV Kodeksu karnego, w art. 189a i art. 207 Kodeksu karnego oraz w ustawie z dnia 29 lipca 2005 r. o przeciwdziałaniu narkomanii oraz nie wydano wobec mnie innego orzeczenia,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stwierdzono,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dopuściłem/am się takich czyn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zabronionych, oraz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nie nałożono na mnie obowiązku wynikającego z orzeczenia sądu, innego uprawnionego organu lub ustawy, stosowania się do zakazu zajmowania wszelkich lub określonych stanowisk, wykonywania wszelkich lub określonych zawod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albo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łalności, związanych z wychowaniem, edukacją, wypoczynkiem, leczeniem, świadczeniem porad psychologicznych, rozwojem duchowym, uprawianiem sportu lub realizacją innych zainteresowań przez małoletnich, lub z opieką nad nimi. </w:t>
        <w:br/>
        <w:br/>
        <w:br/>
        <w:t xml:space="preserve">Jestem świadomy/a odpowiedzialności karnej za złożenie fałszywego oświadczenia.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.......................................................................... </w:t>
        <w:br/>
        <w:t xml:space="preserve">Podpis </w:t>
        <w:tab/>
        <w:tab/>
        <w:tab/>
        <w:br/>
        <w:br/>
        <w:br/>
        <w:br/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......................................................................... </w:t>
        <w:br/>
        <w:t xml:space="preserve">miejsce i data</w:t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36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Publiczne Przedszkole nr 1 im. Krasnala Ha</w:t>
            </w:r>
            <w:r>
              <w:rPr>
                <w:rFonts w:ascii="Times New Roman" w:hAnsi="Times New Roman" w:cs="Times New Roman" w:eastAsia="Times New Roman"/>
                <w:color w:val="323232"/>
                <w:spacing w:val="0"/>
                <w:position w:val="0"/>
                <w:sz w:val="24"/>
                <w:shd w:fill="auto" w:val="clear"/>
              </w:rPr>
              <w:t xml:space="preserve">łabały</w:t>
              <w:br/>
              <w:t xml:space="preserve">ul. Kościuszki 6</w:t>
              <w:br/>
              <w:t xml:space="preserve">05-230 Kobyłka</w:t>
              <w:br/>
              <w:t xml:space="preserve">mazowieckie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 KRAJACH ZAMIESZKANIA </w:t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Ja,............................................................ zamieszka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ła/ły .............................................................</w:t>
        <w:br/>
        <w:br/>
        <w:t xml:space="preserve">nr PESEL ....................................................../nr paszportu ..........................................................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Niniejszym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w okresie ostatnich 20 lat: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5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Nie zamieszkiwa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łem/am*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innych Państwach niż Rzeczypospolita Polska.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7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Zamieszkiwa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łem/am*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następujących państwach, innych niż Rzeczypospolita Polska, (proszę wypisać nazwy państw lub wpisać ‘nie dotyczy”)</w:t>
      </w:r>
    </w:p>
    <w:p>
      <w:pPr>
        <w:numPr>
          <w:ilvl w:val="0"/>
          <w:numId w:val="127"/>
        </w:numPr>
        <w:tabs>
          <w:tab w:val="left" w:pos="0" w:leader="none"/>
        </w:tabs>
        <w:suppressAutoHyphens w:val="true"/>
        <w:spacing w:before="0" w:after="160" w:line="259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</w:t>
      </w:r>
    </w:p>
    <w:p>
      <w:pPr>
        <w:numPr>
          <w:ilvl w:val="0"/>
          <w:numId w:val="127"/>
        </w:numPr>
        <w:tabs>
          <w:tab w:val="left" w:pos="0" w:leader="none"/>
        </w:tabs>
        <w:suppressAutoHyphens w:val="true"/>
        <w:spacing w:before="0" w:after="160" w:line="259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</w:t>
      </w:r>
    </w:p>
    <w:p>
      <w:pPr>
        <w:numPr>
          <w:ilvl w:val="0"/>
          <w:numId w:val="127"/>
        </w:numPr>
        <w:tabs>
          <w:tab w:val="left" w:pos="0" w:leader="none"/>
        </w:tabs>
        <w:suppressAutoHyphens w:val="true"/>
        <w:spacing w:before="0" w:after="160" w:line="259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</w:t>
      </w:r>
    </w:p>
    <w:p>
      <w:pPr>
        <w:numPr>
          <w:ilvl w:val="0"/>
          <w:numId w:val="127"/>
        </w:numPr>
        <w:tabs>
          <w:tab w:val="left" w:pos="0" w:leader="none"/>
        </w:tabs>
        <w:suppressAutoHyphens w:val="true"/>
        <w:spacing w:before="0" w:after="160" w:line="259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</w:t>
      </w:r>
    </w:p>
    <w:p>
      <w:pPr>
        <w:numPr>
          <w:ilvl w:val="0"/>
          <w:numId w:val="127"/>
        </w:numPr>
        <w:tabs>
          <w:tab w:val="left" w:pos="0" w:leader="none"/>
        </w:tabs>
        <w:suppressAutoHyphens w:val="true"/>
        <w:spacing w:before="0" w:after="160" w:line="259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</w:t>
      </w:r>
    </w:p>
    <w:p>
      <w:pPr>
        <w:suppressAutoHyphens w:val="true"/>
        <w:spacing w:before="0" w:after="160" w:line="259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oświadczam, że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posiadam/ nie posiadam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obywatelstwo innego kraju niż Rzeczypospolita Polska, proszę wymienić państwa obywatelstwa ……………………...…… …………………………………………………………………………………………………</w:t>
      </w:r>
    </w:p>
    <w:p>
      <w:pPr>
        <w:suppressAutoHyphens w:val="true"/>
        <w:spacing w:before="0" w:after="160" w:line="259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Oraz 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oświadczam, że w miarę moich możliwości przedłożę informację z rejestr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karnych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wymienionych państw do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zawodowej lub wolontariackiej związanej z kontaktami z dziećmi. </w:t>
      </w:r>
    </w:p>
    <w:p>
      <w:pPr>
        <w:suppressAutoHyphens w:val="true"/>
        <w:spacing w:before="0" w:after="160" w:line="259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Jestem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świadomy/a odpowiedzialności karnej za złożenie fałszywego oświadczenia.</w:t>
      </w:r>
    </w:p>
    <w:p>
      <w:pPr>
        <w:suppressAutoHyphens w:val="true"/>
        <w:spacing w:before="0" w:after="0" w:line="240"/>
        <w:ind w:right="0" w:left="142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42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42" w:firstLine="425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.......................................................................... </w:t>
        <w:br/>
        <w:t xml:space="preserve">Podpis</w:t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*niepotrzebne skre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ślić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2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Ustalone w Publicznym Przedszkolu nr 1 im. Krasnala Ha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łabały w Kobyłce zasady bezpiecznych relacji pracownik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dziecko oraz dziecko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dziecko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bezpiecznych relacji pracowników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w Przedszkolu obowiązują wszystkich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wolontariuszy oraz praktykantów.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</w:t>
        <w:br/>
        <w:t xml:space="preserve">i zaakceptowanie zasad pracownicy potwierdzają podpisaniem oświadczenia.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6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Relacje pracowników Przedszkola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pracownik Przedszkola jest zobowiązany do utrzymywania profesjonalnej relacji </w:t>
        <w:br/>
        <w:t xml:space="preserve">z dziećmi w Przedszkolu i każdorazowego rozważenia, czy jego reakcja, komunikat bądź działanie wobec dziecka są adekwatne do sytuacji, bezpieczne, uzasadnione i sprawiedliwe wobec innych dzieci. Każdy pracownik zobowiązany jest działać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otwarty </w:t>
        <w:br/>
        <w:t xml:space="preserve">i przejrzysty dla innych, aby zminimalizowa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ryzyko błędnej interpretacji swojego zachowania.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8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Komunikacja z 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ćmi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komunikacji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w Przedszkolu pracownik zobowiązany jest: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cierpliwość i szacunek,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łuchać uważnie dziecka i udzielać mu odpowiedzi adekwatnych do ich wieku i danej sytuacji,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dziecko o podejmowanych decyzjach jego dotyczących, biorąc pod uwagę oczekiwania dziecka,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szanowa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zapewnia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dzieci, że jeśli czują się niekomfortowo w jakiejś sytuacji, wobec konkretnego zachowania czy sł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zawstydzania, upokarzania, lekcewa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żenia i obrażania dziecka oraz podnoszenia głosu na dziecko w sytuacji innej niż wynikająca z bezpieczeństwa dziecka lub innych dzieci,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ujawniania informacji wra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żliwych dotyczących dziecka wobec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nieuprawnionych, w tym wobec innych dzieci; obejmuje to wizerunek dziecka, informacje o jego/jej sytuacji rodzinnej, ekonomicznej, medycznej, opieku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ńczej </w:t>
        <w:br/>
        <w:t xml:space="preserve">i prawnej,</w:t>
      </w:r>
    </w:p>
    <w:p>
      <w:pPr>
        <w:numPr>
          <w:ilvl w:val="0"/>
          <w:numId w:val="140"/>
        </w:numPr>
        <w:tabs>
          <w:tab w:val="left" w:pos="0" w:leader="none"/>
        </w:tabs>
        <w:suppressAutoHyphens w:val="true"/>
        <w:spacing w:before="0" w:after="0" w:line="360"/>
        <w:ind w:right="0" w:left="7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zachowywania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obecności dziecka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niestosowny; obejmuje to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żywanie wulgarnych sł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gestów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czynienie obra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źliwych uwag, nawiązywanie </w:t>
        <w:br/>
        <w:t xml:space="preserve">w wypowiedziach do aktywności bądź atrakcyjności seksualnej oraz wykorzystywanie wobec dziecka relacji władzy lub przewagi fizycznej (zastraszanie, przymuszanie, groźby).</w:t>
      </w:r>
    </w:p>
    <w:p>
      <w:pPr>
        <w:suppressAutoHyphens w:val="true"/>
        <w:spacing w:before="0" w:after="0" w:line="360"/>
        <w:ind w:right="0" w:left="7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5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łania realizowane z dziećmi</w:t>
      </w:r>
    </w:p>
    <w:p>
      <w:pPr>
        <w:suppressAutoHyphens w:val="true"/>
        <w:spacing w:before="0" w:after="0" w:line="360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jest: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docenia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i szanować wkład dzieci w podejmowane działania, aktywnie je angażować</w:t>
        <w:br/>
        <w:t xml:space="preserve"> i traktować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ówno bez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na ich płeć, orientację seksualną, sprawność/niepełnosprawność, status społeczny, etniczny, kulturowy, religijny </w:t>
        <w:br/>
        <w:t xml:space="preserve">i światopogląd,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faworyzowania dzieci.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ązywania z dzieckiem jakichkolwiek relacji romantycznych lub seksualnych, składania mu propozycji o nieodpowiednim charakterze; obejmuje to także seksualne komentarze, żarty, gesty oraz udostępnianie nieletnim treści erotycznych </w:t>
        <w:br/>
        <w:t xml:space="preserve">i pornograficznych bez względu na ich formę,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utrwalania wizerunku nieletniego (filmowanie, nagrywanie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łosu, fotografowanie) dla potrzeb prywatnych; dotyczy to także umożliwienia osobom trzecim utrwalenia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dzieci,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Dyrekcja Przedszkola nie została o tym poinformowana, nie wyraziła na to zgody i nie uzyskała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rodziców/opiekunów,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proponowania nieletniemu alkoholu, wyrobów tytoniowych, nielegalnych substancji, jak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używania ich w obecności małoletnich,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przyjmowania pieni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ędzy, prezent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 nieletnich, od rodziców/opiekunów dziecka,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wchodzenia w relacje jakiejkolwiek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wobec dziecka lub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dziecka, zachowywania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sugerować innym istnienie takiej zależności i prowadzący do oskarżeń o nier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 traktowanie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czerpanie korzyści majątkowych i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 dotyczy to okazjonalnych podark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ązanych ze świętami w roku szkolnym, np. kwiat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prezentów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ładkowych czy drobnych upomink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47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ryzykowne sytuacje, które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zauroczenie dzieckiem przez pracownika lub pracownikiem przez dziecko, muszą być raportowane Dyrektorowi Przedszkola. Jeśli pracownik jest ich świadkiem, zobowiązany jest reagować stanowczo, ale z wyczuciem, aby zachować godność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zainteresowanych.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3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Kontakt fizyczny z 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ćmi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Jakiekolwiek przemocowe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wobec małoletniego jest niedopuszczalne. Istnieją jednak sytuacje,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fizyczny kontakt z dzieckiem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jest: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kierowa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zawsze swoim profesjonalnym osądem, słuchając, obserwując </w:t>
        <w:br/>
        <w:t xml:space="preserve">i odnotowując reakcję dziecka, pytając je o zgodę na kontakt fizyczny (np. przytulenie) i zachowując świadomość, że nawet przy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jego dobrych intencjach taki kontakt może być błędnie zinterpretowany przez dziecko lub osoby trzecie,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zawsze przygotowanym na wyjaśnienie swoich działań,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ostrożność wobec dziecka,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świadczyło nadużycia</w:t>
        <w:br/>
        <w:t xml:space="preserve"> i krzywdzenia, w tym seksualnego, fizycznego bądź zaniedbania; takie doświadczenia mogą czasem sprawić, że dziecko będzie dążyć do nawiązania niestosownych bądź nieadekwatnych fizycznych kontakt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doros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łymi; w takich sytuacjach pracownik powinien reagować z wyczuciem, jednak stanowczo i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 dziecku zrozumie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znaczenie osobistych granic.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bicia, szturchania, popychania oraz naruszania integralno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fizycznej dziecka </w:t>
        <w:br/>
        <w:t xml:space="preserve">w jakikolwiek inny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dotykania dziecka w sposób, który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uznany za nieprzyzwoity lub niestosowny,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żowania się w takie aktywności jak łaskotanie, udawane walki z dziećmi czy brutalne zabawy fizyczne.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sytuacjach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czynności pielęgnacyjnych i higienicznych wobec dziecka, pracownik zobowiązany jest unikać innego niż niezbędny kontakt fizyczny z dzieckiem. W każdej czynności pielęgnacyjnej i higienicznej, związanej z pomaganiem dziecku </w:t>
        <w:br/>
        <w:t xml:space="preserve">w ubieraniu się i rozbieraniu, jedzeniu, myciu, przewijaniu czy korzystaniu z toalety, pracownikowi powinna asystować druga osoba zatrudniona w Przedszkolu (o ile pozwala na to organizacja pracy). Każdorazowo należy zapytać dziecko o zgodę. 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Podczas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łuższych niż jednodniowe wyjazd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wycieczek niedopuszczalne jest spanie</w:t>
        <w:br/>
        <w:t xml:space="preserve"> z dzieckiem w jednym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żku lub w jednym pokoju.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 fizyczny z dzieckiem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jawny, nieukrywany, nie może wiązać się </w:t>
        <w:br/>
        <w:t xml:space="preserve">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numPr>
          <w:ilvl w:val="0"/>
          <w:numId w:val="155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przedszkola ma prawo przytrzymania dziecka, w sytuacjach kiedy dziecko przejawia zachowania agresywne/ autoagresywne. Intencje pracownika 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przekraczać granic, są kierowanie dobrem i bezpieczeństwem danego dziecka jak i  chroni inne dzieci oraz siebie. Regulacje znajdziemy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Procedurze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z dzieckiem sprawiającym trudności wychowawcze i przejawiającym agresję i autoagresję w Publicznym Przedszkolu nr 1 im. Krasnala Hałabały w Kobyłce”.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Kontakty pracownika z dzieckiem poza godzinami pracy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3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zasada, że kontakt z dziećmi uczęszczającymi do Przedszkola powinien odbywać się wyłącznie w godzinach pracy i dotyczyć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lub wychowawczych.</w:t>
      </w:r>
    </w:p>
    <w:p>
      <w:pPr>
        <w:numPr>
          <w:ilvl w:val="0"/>
          <w:numId w:val="163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zapraszania dzieci do swojego miejsca zamieszkania, spotykania się z nimi poza godzinami pracy; obejmuje to także kontakty z dziećmi poprzez prywatne kanały komunikacji (prywatny telefon, e-mail, komunikatory, profile</w:t>
        <w:br/>
        <w:t xml:space="preserve"> w mediach społecznościowych).</w:t>
      </w:r>
    </w:p>
    <w:p>
      <w:pPr>
        <w:numPr>
          <w:ilvl w:val="0"/>
          <w:numId w:val="163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zachodzi taka konieczność, właściwą formą komunikacji z dziećmi i ich rodzicami lub opiekunami poza godzinami pracy są kanały służbowe (e-mail, telefon służbowy).</w:t>
      </w:r>
    </w:p>
    <w:p>
      <w:pPr>
        <w:numPr>
          <w:ilvl w:val="0"/>
          <w:numId w:val="163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zachodzi konieczność spotkania z dziećmi poza godzinami pracy, pracownik zobowiązany jest poinformować o tym Dyrektora Przedszkola, a rodzice/opiekunowie dzieci muszą wyrazić zgodę na taki kontakt.</w:t>
      </w:r>
    </w:p>
    <w:p>
      <w:pPr>
        <w:numPr>
          <w:ilvl w:val="0"/>
          <w:numId w:val="163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Utrzymywanie relacji towarzyskich lub rodzinnych (je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dzieci i rodzice/opiekunowie dzieci są osobami bliskimi wobec pracownika) wymaga zachowania poufności wszystkich informacji dotyczących innych dzieci, ich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oraz opiekunów.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5"/>
        </w:numPr>
        <w:tabs>
          <w:tab w:val="left" w:pos="0" w:leader="none"/>
        </w:tabs>
        <w:suppressAutoHyphens w:val="true"/>
        <w:spacing w:before="0" w:after="160" w:line="259"/>
        <w:ind w:right="0" w:left="709" w:hanging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bezpiecznych relacji 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ędzy dziećmi w przedszkolu, a w szczeg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zachowania niedozwolone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prawo do życia i przebywania w bezpiecznym środowisku. Pracownicy przedszkola chronią ich i zapewniają bezpieczeństwo. 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obowiązek przestrzegania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ólnie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ązujących zasad i norm zachowania.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uznaj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prawo innych dzieci do odmienności i zachowania tożsamości ze względu na: pochodzenie etniczne, geograficzne, narodowe, religię, status ekonomiczny, cechy rodzinne, wiek, płeć, cechy fizyczne, niepełnosprawność. Nie naruszają praw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nikogo nie dyskryminuj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ze względu na jakąkolwiek odmienność. 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Zachowanie i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dzieci wobec innych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nie narusza ich poczucia godno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  <w:br/>
        <w:t xml:space="preserve"> i wartości osobistej. Dzieci zobowiązane są do respektowania praw i wolności osobistych innych, ich prawa do własnego zdania, do poszukiwań i popełniania błęd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łasnych pogląd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wygl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ądu i zachowania -  w ramach społecznie przyjętych norm i wartości.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Kontakty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dziećmi cechuje zachowanie przez nich kultury osobistej, np. używanie zwrot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grzeczno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ściowych typu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dziękuję, przepraszam”. Dzieci są uprzejme, życzliwe. Stosują poprawny. Wolny od wulgaryzm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ęzyk. Kontrolują swoje zachowania i emocje. Dzieci wyrażają swoje opinie w spokojny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który nie obra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</w:t>
        <w:br/>
        <w:t xml:space="preserve"> i nie krzywdzi innych.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buduj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wzajemne relacje poprzez niwelowanie konkurencyjności między sobą</w:t>
        <w:br/>
        <w:t xml:space="preserve"> w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obszarach życia, wzajemne zrozumienie oraz konstruktywny, bez użycia siły rozwiązanie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konfliktów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sobą. Akceptują i szanują siebie nawzajem.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okazuj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zrozumienie dla trudności i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innych, nie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śmiewają i nie krytykują.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16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kontaktach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sobą dzieci nie powinny zachowywać się prowokacyjnie </w:t>
        <w:br/>
        <w:t xml:space="preserve">i konkurencyjnie. Nie powinny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mieć poczucia zagrożenia czy odczuwać wrogości ze strony innych.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prawo do własnych pogląd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ocen i spojrzenia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 oraz wyrażania ich, pod warunkiem, że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ich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żania wolny jest od agresji i przemocy oraz nikomu nie wyrządza krzywdy.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na pow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ód, agresja i przemoc fizyczna,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łowna lub psychiczna wśr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dzieci nigdy nie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przez nich akceptowana lub usprawiedliwiona. Dzieci nie mają prawa stosować z jakiegokolwiek powodu słownej, fizycznej i psychicznej agresji oraz przemocy wobec innych.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obowiązek przeciwstawiania się  wszelkim przejawom brutalności </w:t>
        <w:br/>
        <w:t xml:space="preserve">i wulgarności oraz informowania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przedszkola o zaistnia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zagrożeniach.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dziecko jest świadkiem stosowania jakiejkolwiek formy agresji lub przemocy, ma obowiązek reagowania na nią, np. szuka pomocy dla ofiary u osoby dorosłej (zgodnie </w:t>
        <w:br/>
        <w:t xml:space="preserve">z obowiązującymi procedurami).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obowiązujące w przedszkolu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procedury bezpieczeństwa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wiedz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jak zachowywać się w sytuacjach,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zagra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żają ich bezpieczeństwu lub bezpieczeństwu innych, gdzie i do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doros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łego mogą się zwr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o pomoc.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dziecko stało się ofiarą agresji lub przemocy, może uzyskać w przedszkolu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pomoc, zgodnie z obowiązującymi w niej procedurami.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Niedozwolone zachowania dzieci w placówce wobec innych jest zabronione, tj.: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Stosowanie agresji i przemocy fizycznej np.: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Bicie/uderzanie/popychanie/kopanie/ opluwanie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Wymuszanie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Napastowanie seksualne 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żywanie swojej przewagi nad innymi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Fizyczne zaczepki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Zmuszanie innej osoby do podejmowania niew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łaściwych działań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Rzucanie w kogo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 przedmiotami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Stosowanie agresji i przemocy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łownej w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formach, np.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Obelgi, wyzwiska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śmiewanie, drwienie, szydzenie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średnie obrażane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Plotki i obra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źliwe żarty, przedrzeźnianie, groźby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Stosowanie agresji i przemocy psychicznej w 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formach, np.: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żanie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Wykluczanie/izolacja/milczenie/manipulowanie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Wulgarne gesty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Niszczenie/zabieranie rzeczy innej osoby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Straszenie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144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żowanie 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Niedozwolone jest stwarzanie niebezpiecznych sytuacji w przedszkolu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np. rzucanie przedmiotami, przynoszenie ostrych narz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ędzi, innych niebezpiecznych przedmiot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  <w:br/>
        <w:t xml:space="preserve">i substancji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pirotechnicznych,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łańcuch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ży, zapalniczek), używanie ognia na terenie przedszkola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Niedopuszczalnej jest celowe nieprzestrzeganie zasad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podczas zajęć </w:t>
        <w:br/>
        <w:t xml:space="preserve">w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ówce. Celowe zachowania zagra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żające zdrowiu bądź życiu. 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Niestosowne jest odzywanie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 innych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żywanie wulgaryzm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Zabronione jest przyw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łaszczanie własności lub celowe niszczenie, nieszanowanie własności innych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oraz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łasności przedszkola. 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Niedopuszczalne jest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ązywanie konflikt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sposób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łowy. Udział w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ójce.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Szykanowanie innych osób z powodu odmienno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ści, przekonań, religii, światopoglądu, płci, poczucia tożsamości, pochodzenia, statusu ekonomicznego i społecznego, niepełnosprawności, wyglądu jest niedopuszczalne..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Kategorycznie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znęcanie nad innymi (wsp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łudział w znęcaniu się, zorganizowana przemoc, zastraszanie).</w:t>
      </w:r>
    </w:p>
    <w:p>
      <w:pPr>
        <w:numPr>
          <w:ilvl w:val="0"/>
          <w:numId w:val="16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Niedopuszczalne jest aroganckie/ niegrzeczne zachowanie, wulgaryzmy.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łamanie, oszukiwanie.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7"/>
        </w:numPr>
        <w:tabs>
          <w:tab w:val="left" w:pos="0" w:leader="none"/>
        </w:tabs>
        <w:suppressAutoHyphens w:val="true"/>
        <w:spacing w:before="0" w:after="160" w:line="259"/>
        <w:ind w:right="0" w:left="709" w:hanging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Bezpiecze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ństwo online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świadomy cyfrowych zagrożeń i ryzyka wynikającego </w:t>
        <w:br/>
        <w:t xml:space="preserve">z rejestrowania swojej prywatnej aktywności w sieci przez aplikacje i algorytmy, a także własnych działań w Internecie. Dotyczy 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lajkowania”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stron, korzystania</w:t>
        <w:br/>
        <w:t xml:space="preserve"> z aplikacji randkowych, na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on spotkać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ów/uczennice, obserwowania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ób/stron w mediach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łecznościowych i ustawień prywatności kont,</w:t>
        <w:br/>
        <w:t xml:space="preserve">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korzysta.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profil pracownika jest publicznie dostępny, to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dzieci</w:t>
        <w:br/>
        <w:t xml:space="preserve"> i ich rodzice/opiekunowie mają wgląd w cyfrową aktywność pracownika.</w:t>
      </w:r>
    </w:p>
    <w:p>
      <w:pPr>
        <w:numPr>
          <w:ilvl w:val="0"/>
          <w:numId w:val="17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wyłączać lub wyciszać osobiste urządzenia elektroniczne </w:t>
        <w:br/>
        <w:t xml:space="preserve">w trakcie pracy oraz wyłączyć na terenie Przedszkola funkcjonalność Bluetooth.</w:t>
      </w:r>
    </w:p>
    <w:p>
      <w:pPr>
        <w:numPr>
          <w:ilvl w:val="0"/>
          <w:numId w:val="17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nawiązywania kontakt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poprzez przyjmowanie bądź wysyłanie zaproszeń w mediach społecznościowych.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3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Wzór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karta interwencji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02"/>
        <w:gridCol w:w="1258"/>
        <w:gridCol w:w="2322"/>
        <w:gridCol w:w="5243"/>
      </w:tblGrid>
      <w:tr>
        <w:trPr>
          <w:trHeight w:val="453" w:hRule="auto"/>
          <w:jc w:val="left"/>
        </w:trPr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 dziecka</w:t>
            </w:r>
          </w:p>
        </w:tc>
        <w:tc>
          <w:tcPr>
            <w:tcW w:w="88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1" w:hRule="auto"/>
          <w:jc w:val="left"/>
        </w:trPr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Przyczyna interwencji (forma krzywdzenia)</w:t>
            </w:r>
          </w:p>
        </w:tc>
        <w:tc>
          <w:tcPr>
            <w:tcW w:w="88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773" w:leader="none"/>
              </w:tabs>
              <w:suppressAutoHyphens w:val="true"/>
              <w:spacing w:before="0" w:after="0" w:line="276"/>
              <w:ind w:right="1026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10" w:hRule="auto"/>
          <w:jc w:val="left"/>
        </w:trPr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Osoba zawiadamiaj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ąca o podejrzeniu krzywdzenia</w:t>
            </w:r>
          </w:p>
        </w:tc>
        <w:tc>
          <w:tcPr>
            <w:tcW w:w="88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2" w:hRule="auto"/>
          <w:jc w:val="left"/>
        </w:trPr>
        <w:tc>
          <w:tcPr>
            <w:tcW w:w="26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Opis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łań podjętych przez pedagoga specjalnego/psychologa</w:t>
            </w:r>
          </w:p>
        </w:tc>
        <w:tc>
          <w:tcPr>
            <w:tcW w:w="35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Data:</w:t>
            </w:r>
          </w:p>
        </w:tc>
        <w:tc>
          <w:tcPr>
            <w:tcW w:w="5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2" w:hRule="auto"/>
          <w:jc w:val="left"/>
        </w:trPr>
        <w:tc>
          <w:tcPr>
            <w:tcW w:w="26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łanie:</w:t>
            </w:r>
          </w:p>
        </w:tc>
        <w:tc>
          <w:tcPr>
            <w:tcW w:w="5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2" w:hRule="auto"/>
          <w:jc w:val="left"/>
        </w:trPr>
        <w:tc>
          <w:tcPr>
            <w:tcW w:w="26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Spotkania z opiekunami dziecka</w:t>
            </w:r>
          </w:p>
        </w:tc>
        <w:tc>
          <w:tcPr>
            <w:tcW w:w="35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Data:</w:t>
            </w:r>
          </w:p>
        </w:tc>
        <w:tc>
          <w:tcPr>
            <w:tcW w:w="5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4" w:hRule="auto"/>
          <w:jc w:val="left"/>
        </w:trPr>
        <w:tc>
          <w:tcPr>
            <w:tcW w:w="26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Opis spotkania:</w:t>
            </w:r>
          </w:p>
        </w:tc>
        <w:tc>
          <w:tcPr>
            <w:tcW w:w="5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2" w:hRule="auto"/>
          <w:jc w:val="left"/>
        </w:trPr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Forma podj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ętej interwencji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(zakreślić właściwe)</w:t>
            </w:r>
          </w:p>
        </w:tc>
        <w:tc>
          <w:tcPr>
            <w:tcW w:w="88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zawiadomienie o podejrzeniu pope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łnienia przestępstwa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wniosek o wgl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ąd w sytuację dziecka/rodziny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inny rodzaj interwencji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(jaki?)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........................................................ ……………………………………………………………………..</w:t>
            </w:r>
          </w:p>
        </w:tc>
      </w:tr>
      <w:tr>
        <w:trPr>
          <w:trHeight w:val="1887" w:hRule="auto"/>
          <w:jc w:val="left"/>
        </w:trPr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Dane dotycz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ące interwencji (nazwa organu, do 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łoszono interwencję i data interwencji)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2" w:hRule="auto"/>
          <w:jc w:val="left"/>
        </w:trPr>
        <w:tc>
          <w:tcPr>
            <w:tcW w:w="26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Wyniki interwencji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łania organ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wymiaru sprawiedliwo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 (jeśli plac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ówka uzyska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 informacje o wynikach działania plac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ówki lub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łania rodzic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ów)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Data:</w:t>
            </w:r>
          </w:p>
        </w:tc>
        <w:tc>
          <w:tcPr>
            <w:tcW w:w="75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1" w:hRule="auto"/>
          <w:jc w:val="left"/>
        </w:trPr>
        <w:tc>
          <w:tcPr>
            <w:tcW w:w="26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łanie:</w:t>
            </w:r>
          </w:p>
        </w:tc>
        <w:tc>
          <w:tcPr>
            <w:tcW w:w="75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4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ochrony wizerunku 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łoletniego i danych osobowych dzieci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powsta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w oparciu o obowiązujące przepisy prawa. We wszystkich działaniach Przedszkola kierujemy się odpowiedzialnością i rozwagą wobec utrwalania, przetwarzania, używania i publikowania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Dzielenie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zdjęciami i filmami z naszych aktywności służy celebrowaniu sukces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dzieci, dokumentowaniu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i zawsze ma na uwadze bezpieczeństwo dzieci. Wykorzystujemy zdjęcia/nagrania pokazujące szeroki przekr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dzieci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  <w:br/>
        <w:t xml:space="preserve">i dziewcz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ęta, dzieci w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żnym wieku, 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uzdolnieniach, stopniu sprawności</w:t>
        <w:br/>
        <w:t xml:space="preserve"> i reprezentujące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 grupy etniczne.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Rodzice/opiekunowie dzieci decyduj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czy wizerunek ich dzieci zostanie zarejestrowany</w:t>
        <w:br/>
        <w:t xml:space="preserve"> i w jaki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zostanie przez nas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żyty.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Zgoda rodziców/opiekunów na wykorzystanie wizerunku ich dziecka jest tylko wtedy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ążąca, jeśli dzieci i rodzice/opiekunowie zostali poinformowani o sposobie wykorzystania zdjęć/nagrań i ryzyku wiążącym się z publikacją wizerunku.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Dbamy o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 poprzez: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śbę o pisemną zgodę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przed zrobieniem i publikacj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zdjęcia/nagrania,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udzielenie wyja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śnień, do czego wykorzystamy zdjęcia/nagrania i w jakim kontekście, jak będziemy przechowywać te dane i jakie potencjalne ryzyko wiąże się z publikacją zdjęć/nagrań online,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unikanie podpisywania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ęć/nagrań informacjami identyfikującymi dziecko z imienia i nazwiska; jeśli konieczne jest podpisanie dziecka, używamy tylko imienia,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rezygnacj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ujawniania jakichkolwiek informacji wrażliwych o dziecku, dotyczących m.in. stanu zdrowia, sytuacji materialnej, sytuacji prawnej i powiązanych </w:t>
        <w:br/>
        <w:t xml:space="preserve">z wizerunkiem dziecka (np. w przypadku zbi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órek indywidualnych organizowanych przez Przedszkole).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Zmniejszamy ryzyko kopiowania i niestosownego wykorzystania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ęć/nagrań dzieci poprzez przyjęcie następujących zasad: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dzieci znajduj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się na zdjęciu/nagraniu muszą być ubrane, a sytuacja zdjęcia/nagrania nie jest dla dziecka poniżająca, ośmieszająca ani nie ukazuje go</w:t>
        <w:br/>
        <w:t xml:space="preserve"> w negatywnym kontekście,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ęcia/nagrania dzieci koncentrują się na czynnościach wykonywanych przez dzieci |</w:t>
        <w:br/>
        <w:t xml:space="preserve">i w miarę możliwości przedstawiają dzieci w grupie, a nie pojedyncze osoby,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rezygnujemy z publikacji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dzieci, nad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órymi nie sprawujemy 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opieki, jeśli one lub ich rodzice/opiekunowie nie wyrazili zgody na wykorzystanie zdjęć po odejściu z Przedszkola,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podejrzenia i problemy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niewłaściwego rozpowszechniania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rejestrowane i zgłaszane Dyrekcji, podobnie jak inne niepokojące sygnały dotyczące zagrożenia bezpieczeństwa dzieci.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sytuacjach, w których Przedszkole rejestruje wizerunki dzieci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łasnego użytku, deklarujemy, że: 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i rodzice/opiekunowie zawsze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poinformowani o tym, że dane wydarzenie będzie rejestrowane,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zgoda rodziców/opiekunów na rejestracj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wydarzenia zostaje przyjęta przez Przedszkole na piśmie,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rejestracji wydarzenia zleconej osobie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ętrznej (wynajętemu fotografowi lub kamerzyście) dbamy o bezpieczeństwo dzieci i młodzieży poprzez: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 osoby/firmy rejestrującej wydarzenie do przestrzegania niniejszych wytycznych,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 osoby/firmy rejestrującej wydarzenie do noszenia identyfikatora </w:t>
        <w:br/>
        <w:t xml:space="preserve">w czasie trwania wydarzenia,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niedopuszczanie do sytuacji, w której osoba/firma rejestruj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będzie przebywała z dziećmi bez nadzoru pracownika Przedszkola,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informowanie rodziców/opiekunów oraz dzieci,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osoba/firma rejestrująca wydarzenie będzie obecna podczas wydarzenia, i upewnienie się, że rodzice/opiekunowie udzielili pisemnej zgody na rejestrowanie wizerunku ich dzieci.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wizerunek dziecka stanowi jedynie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całości takiej jak zgromadzenie, krajobraz, impreza publiczna, zgoda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dziecka nie jest wymagana.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sytuacjach, w których rodzice/opiekunowie lub widzowie przedszkolnych wydarze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</w:t>
        <w:br/>
        <w:t xml:space="preserve"> i uroczystości itd. rejestrują wizerunki dzieci do prywatnego użytku, informujemy na początku każdego z tych wydarzeń o tym, że: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wykorzystanie, przetwarzanie i publikowanie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ęć/nagrań zawierających wizerunki dzieci i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doros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wymaga udzielenia zgody przez te osoby, w przypadku dzieci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przez ich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lub nagrania zawierające wizerunki dzieci nie powinny być udostępniane</w:t>
        <w:br/>
        <w:t xml:space="preserve"> w mediach społecznościowych ani na serwisach otwartych, chyba że rodzice lub opiekunowie dzieci wyrażą na to zgodę,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 publikacj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zdjęcia/nagrania online zawsze sprawdzamy ustawienia prywatności, aby upewnić się, kto będzie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uzyskać dostęp do wizerunku dziecka.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Przedstawiciele mediów lub dowolna inna osoba, którzy chc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zarejestrować organizowane wydarzenie i opublikować zebrany materiał, muszą zgłosić taką prośbę wcześniej </w:t>
        <w:br/>
        <w:t xml:space="preserve">i uzyskać zgodę dyrekcji.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ższej sytuacji upewnimy się wcześniej, że rodzice/opiekunowie udzielili pisemnej zgody na rejestrowanie wizerunku ich dzieci. Przedstawiciele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dowolna inna osoba, którzy chc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zarejestrować organizowane wydarzenie i opublikować zebrany materiał, zobowiązani są udostępnić: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informacje o imieniu, nazwisku i adresie osoby lub redakcji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ępującej o zgodę,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uzasadnienie potrzeby rejestrowania wydarzenia oraz informacje, w jaki sposób</w:t>
        <w:br/>
        <w:t xml:space="preserve"> i w jakim kontek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zostanie wykorzystany zebrany materiał,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deklarację o zgodności podanych informacji ze stanem faktycznym.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Przedszkola nie wolno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żliwiać przedstawicielom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osobom nieupowa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żnionym utrwalania wizerunku dziecka na terenie instytucji bez pisemnej zgody rodzica/opiekuna dziecka oraz bez zgody Dyrekcji.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Przedszkola nie kontaktuje przedstawicieli mediów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ćmi, nie przekazuje mediom kontaktu do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dzieci i nie wypowiada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kontakcie</w:t>
        <w:br/>
        <w:t xml:space="preserve"> z przedstawicielami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sprawie dziecka lub jego rodzica/opiekuna. Zakaz ten dotyczy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sytuacji, gdy pracownik jest przekonany, że jego wypowiedź nie jest w żaden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utrwalana.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realizacji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medialnego, Dyrekcja może podjąć decyzję o udostępnieniu wybranych pomieszczeń Przedszkola dla potrzeb nagrania. Podejmując taką decyzję, poleca przygotowanie pomieszczenia w taki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aby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żliwić rejestrowanie przebywających na terenie dzieci.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dzieci, rodzice lub opiekunowie nie wyrazili zgody na utrwalenie wizerunku dziecka, respektujemy ich decyzję. Z wyprzedzeniem ustalamy z rodzicami/opiekunami i dziećmi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w jaki osoba rejestruj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wydarzenie będzie mogła zidentyfikować dziecko, aby nie utrwalać jego wizerunku na zdjęciach indywidualnych i grupowych.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ązanie, jakie przyjmiemy, nie wyklucza dziecka,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wizerunek nie powinien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rejestrowany.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 przechowuje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zawierające wizerunek dzieci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zgodny</w:t>
        <w:br/>
        <w:t xml:space="preserve"> z prawem i bezpieczny dla dzieci: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śniki analogowe zawierające zdjęcia i nagrania są przechowywane w zamkniętej na klucz szafie, a nośniki elektroniczne zawierające zdjęcia i nagrania są przechowywane w folderze chronionym z dostępem ograniczonym do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uprawnionych przez Przedszkole,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śniki będą przechowywane przez okres wymagany przepisami prawa o archiwizacji,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przechowujemy w Przedszkolu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elektronicznych zawieraj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wizerunki dzieci na nośnikach nieszyfrowanych ani mobilnych, takich jak telefony 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órkowe i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z pamięcią przenośną (np. pendrive),</w:t>
      </w:r>
    </w:p>
    <w:p>
      <w:pPr>
        <w:numPr>
          <w:ilvl w:val="0"/>
          <w:numId w:val="231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dopuszcza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używanie prywatnych telefon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nauczycieli do zrobienia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bądź nagrań uroczystości przedszkolnych/ważnych wydarzeń grupy. 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ępnie pracownik zobowiązany jest przesłać zdjęcia za pośrednictwem Messengera do oficjalnego profilu Publicznego Przedszkola nr 1 im. Krasnala Hałabały w Kobyłce, po wysłaniu zdjęć pracownik jest zobligowany do usunięcia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ze swojego telefonu.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5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bezpiecznego korzystania z Internetu i mediów elektronicznych w Publicznym Przedszkolu nr 1 im. Krasnala Ha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łabały w Kobyłce.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Infrastruktura sieciowa Przedszkola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 dostęp do Internetu, zar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ówno personelowi, jak i dzieciom, w czasie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pod nadzorem pracownika Przedszkola.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jest monitorowana, tak aby możliwe było zidentyfikowanie sprawc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ewentualnych nadu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żyć.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 organizacyjne na poziomie Przedszkola bazują na aktualnych standardach bezpieczeństwa.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odpowiedzialną za bezpieczeństwo w sieci w Przedszkolu jest zatrudniony przez Dyrektora Przedszkola informatyk bądź osoba oddelegowana z Urzędu Miasta w Kobyłce.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tej osoby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żą: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zabezpieczenie sieci internetowej Przedszkola przed niebezpiecznymi 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ściami poprzez instalację i aktualizację odpowiedniego, nowoczesnego oprogramowania,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aktualizowanie oprogramowania w miar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potrzeb,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przynajmniej raz w miesi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ącu sprawdzanie, czy na komputerach ze swobodnym dostępem podłączonych do Internetu nie znajdują się niebezpieczne treści; </w:t>
        <w:br/>
        <w:t xml:space="preserve">w przypadku znalezienia niebezpiecznych treści, wyznaczony pracownik stara się ustalić, kto korzystał z komputera w czasie ich wprowadzenia; informację o dziecku,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korzysta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z komputera w czasie wprowadzenia niebezpiecznych treści, wyznaczony pracownik przekazuje Dyrektorowi Przedszkola,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aran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żuje dla dziecka rozmowę z psychologiem lub pedagogiem na temat bezpieczeństwa </w:t>
        <w:br/>
        <w:t xml:space="preserve">w Internecie; jeżeli w wyniku przeprowadzonej rozmowy psycholog/pedagog specjalny uzyska informacje, że dziecko jest krzywdzone, podejmuje działania opisane w procedurze interwencji.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 realizowanego pod nadzorem pracownika ma on obowiązek informowania dzieci o zasadach bezpiecznego korzystania z Internetu. Pracownik Przedszkola czuwa także nad bezpieczeństwem korzystania z Internetu przez dzieci podczas zajęć.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miar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możliwości osoba odpowiedzialna za Internet przeprowadza z dziećmi cykliczne warsztaty dotyczące bezpiecznego korzystania z Internetu.</w:t>
      </w:r>
    </w:p>
    <w:p>
      <w:pPr>
        <w:numPr>
          <w:ilvl w:val="0"/>
          <w:numId w:val="249"/>
        </w:numPr>
        <w:tabs>
          <w:tab w:val="left" w:pos="0" w:leader="none"/>
        </w:tabs>
        <w:suppressAutoHyphens w:val="true"/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 zapewnia 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dostęp do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edukacyjnych,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bezpiecznego korzystania z Internetu, przy komputerach,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żliwy jest swobodny dostęp do sieci.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6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Ankieta monitoruj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ąca poziom realizacji Polityki oraz procedur ochrony dzieci przed krzywdzeniem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5520"/>
        <w:gridCol w:w="1546"/>
        <w:gridCol w:w="154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Pytanie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znasz standardy ochrony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łoletnich przed krzywdzeniem obowiązujące w przedszkolu, w 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órym pracujesz?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znasz tre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dokumentu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Polityka oraz procedury ochrony dzieci przed krzywdzeniem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potrafisz rozpoznawa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ć symptomy krzywdzenia dzieci?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wiesz, jak reagowa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ć na symptomy krzywdzenia dzieci?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zdarzy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 Ci się zaobserwować naruszenie zasad zawartych w Polityce oraz procedurach ochrony dzieci przed krzywdzeniem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przez innego pracownika?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śli tak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jakie zasady 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ły naruszone?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podj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ąłeś/-aś jakieś działania? Jeśli tak, to jakie?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śli nie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dlaczego?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Czy masz jakie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 uwagi/poprawki/sugestie dotyczące Polityki oraz procedury ochrony dzieci przed krzywdzeniem?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(odpowiedź opisowa)</w:t>
            </w:r>
          </w:p>
        </w:tc>
        <w:tc>
          <w:tcPr>
            <w:tcW w:w="30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7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REJESTR  UJAWNIONYCH LUB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ŁOSZONYCH INCYDENT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LUB ZDARZE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ZAGRAŻAJĄCYCH DOBRU MAŁOLETNICH</w:t>
      </w:r>
    </w:p>
    <w:tbl>
      <w:tblPr/>
      <w:tblGrid>
        <w:gridCol w:w="543"/>
        <w:gridCol w:w="1296"/>
        <w:gridCol w:w="1309"/>
        <w:gridCol w:w="1546"/>
        <w:gridCol w:w="1376"/>
        <w:gridCol w:w="1791"/>
        <w:gridCol w:w="1427"/>
      </w:tblGrid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Data 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łoszenia/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zdarzenia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Osoba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łaszająca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Rodzaj zdarzenia/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opis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łoszenia</w:t>
            </w: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Podpis osoby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łaszającej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Podpis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osoby odpowiedzialnej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 przyj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ęcie zgłoszenia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567" w:hanging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8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Wzór zawiadomienia o podejrzeniu pope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łnienia przestępstwa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…………………………………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miejsce i data</w:t>
        <w:tab/>
        <w:tab/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Prokuratura Rejonowa w ……………………………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  <w:vertAlign w:val="superscript"/>
        </w:rPr>
        <w:t xml:space="preserve">[1]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Zawiadamiaj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ący: …………………………… z siedzibą w ……………………………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reprezentowana przez: ……………………………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adres do korespondencji: ……………………………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ab/>
        <w:t xml:space="preserve">Zawiadomienie o podejrzeniu pope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łnienia przestępstwa.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Niniejszym sk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ładam zawiadomienie o podejrzeniu popełnienia przestępstwa ………………… …………………….. na szkodę małoletniego …………………………..………………… (imię i nazwisko, data urodzenia) przez …………………………………………………..… (imię i nazwisko domniemanego sprawcy).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Uzasadnienie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W trakcie wykonywania przez ………………………………………….………………… (imi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ę i nazwisko pracownika/wolontariusza) czynności służbowych - wobec małoletniej/go…………………………………………….…………………imię i nazwisko), dziecko ujawniło niepokojące treści dotyczące relacji z ……………….……………………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  <w:vertAlign w:val="superscript"/>
        </w:rPr>
        <w:t xml:space="preserve">[2].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Dalszy opis podejrzenia pope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łnienia przestępstwa …………………………………………… ………………………………………………………………………………………………...… 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………………………………………………....……………………………………………..….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ąc na uwadze powyższe informacje, a także dobro i bezpieczeństwo małoletniej/małoletniego wnoszę o wszczęcie postępowania w tej sprawie.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Osob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 mogącą udzielić więcej informacji jest …………………………… (imię, nazwisko, telefon, adres do korespondencji).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Wszelk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 korespondencję w sprawie proszę przesyłać na adres korespondencyjny, z powołaniem się na numer i liczbę dziennika pisma.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…………………………..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podpis osoby upowa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żnionej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[1] Zawiadomienie nale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ży złożyć do prokuratury rejonowej/policji właściwej ze względu na miejsce popełnienia przestępstwa.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[2] Opis sytuacji, która mia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ła miejsce. Należy uzupełnić zgodnie z tym, co się wydarzyło (ważne jest, by zaznaczyć np.: kiedy i gdzie miało miejsce zdarzenie, kto m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óg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ł je widzieć/wiedzieć o nim, kto m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óg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ł popełnić przestępstwo)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łącznik nr 9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Wzór Wniosku o wgl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ąd w sytuację rodziny.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miejsce i data</w:t>
        <w:tab/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ąd Rejonowy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</w:t>
        <w:tab/>
        <w:tab/>
        <w:t xml:space="preserve">W……………………………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</w:t>
        <w:tab/>
        <w:tab/>
        <w:t xml:space="preserve">III Wydzia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 Rodzinny i Nieletnich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  <w:vertAlign w:val="superscript"/>
        </w:rPr>
        <w:t xml:space="preserve">[1]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Wnioskodawca: …………………………………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reprezentowana przez: …………………………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adres do korespondencji: …………………………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Uczestnicy post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ępowania: ....................(imiona i nazwiska rodzic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ów) 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ul............................ (adres zamieszkania)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rodzice ma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łoletniego: ………………(imię i nazwisko dziecka, data </w:t>
        <w:tab/>
        <w:tab/>
        <w:t xml:space="preserve">urodzenia)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Wniosek o wgl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ąd w sytuację dziecka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Niniejszym  wnosz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ę o wgląd w sytuację małoletniego ………………… (imię i nazwisko dziecka, data urodzenia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  <w:vertAlign w:val="superscript"/>
        </w:rPr>
        <w:t xml:space="preserve">[2]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)  i wydanie odpowiednich zarządzeń opiekuńczych.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Uzasadnienie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Z informacji uzyskanych od pracowników …………………… 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ędących w kontakcie z małoletnim/ą wynika, że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Rodzina nie ma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łożonej Niebieskiej Karty.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ów jest uzasadniony.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Pracownikiem opiekuj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ącym się małoletnim/ą w organizacji jest……………..…………….(imię, nazwisko, telefon służbowy, adres plac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ówki).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…………………………………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(podpis)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łączniki:</w:t>
      </w:r>
    </w:p>
    <w:p>
      <w:pPr>
        <w:numPr>
          <w:ilvl w:val="0"/>
          <w:numId w:val="349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Ew. dokumenty, jak s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ą dostępne,</w:t>
      </w:r>
    </w:p>
    <w:p>
      <w:pPr>
        <w:numPr>
          <w:ilvl w:val="0"/>
          <w:numId w:val="349"/>
        </w:numPr>
        <w:tabs>
          <w:tab w:val="left" w:pos="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Odpis pisma.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  <w:vertAlign w:val="superscript"/>
        </w:rPr>
        <w:t xml:space="preserve">[1]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Wniosek nale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ży złożyć do sądu właściwego ze względu na miejsce zamieszkania dziecka, nie zameldowania.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  <w:vertAlign w:val="superscript"/>
        </w:rPr>
        <w:t xml:space="preserve">[2]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ży zawsze podać imię i nazwisko dziecka i adres jego pobytu. Tylko w takim wypadku sąd może skutecznie pom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óc, m. in. poprzez wys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łanie do rodziny kuratora na wywiad.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num w:numId="15">
    <w:abstractNumId w:val="252"/>
  </w:num>
  <w:num w:numId="19">
    <w:abstractNumId w:val="246"/>
  </w:num>
  <w:num w:numId="24">
    <w:abstractNumId w:val="240"/>
  </w:num>
  <w:num w:numId="28">
    <w:abstractNumId w:val="234"/>
  </w:num>
  <w:num w:numId="30">
    <w:abstractNumId w:val="228"/>
  </w:num>
  <w:num w:numId="36">
    <w:abstractNumId w:val="222"/>
  </w:num>
  <w:num w:numId="39">
    <w:abstractNumId w:val="216"/>
  </w:num>
  <w:num w:numId="44">
    <w:abstractNumId w:val="210"/>
  </w:num>
  <w:num w:numId="47">
    <w:abstractNumId w:val="204"/>
  </w:num>
  <w:num w:numId="50">
    <w:abstractNumId w:val="198"/>
  </w:num>
  <w:num w:numId="52">
    <w:abstractNumId w:val="192"/>
  </w:num>
  <w:num w:numId="58">
    <w:abstractNumId w:val="186"/>
  </w:num>
  <w:num w:numId="60">
    <w:abstractNumId w:val="180"/>
  </w:num>
  <w:num w:numId="62">
    <w:abstractNumId w:val="174"/>
  </w:num>
  <w:num w:numId="68">
    <w:abstractNumId w:val="168"/>
  </w:num>
  <w:num w:numId="72">
    <w:abstractNumId w:val="162"/>
  </w:num>
  <w:num w:numId="74">
    <w:abstractNumId w:val="156"/>
  </w:num>
  <w:num w:numId="77">
    <w:abstractNumId w:val="150"/>
  </w:num>
  <w:num w:numId="79">
    <w:abstractNumId w:val="144"/>
  </w:num>
  <w:num w:numId="84">
    <w:abstractNumId w:val="138"/>
  </w:num>
  <w:num w:numId="86">
    <w:abstractNumId w:val="132"/>
  </w:num>
  <w:num w:numId="91">
    <w:abstractNumId w:val="126"/>
  </w:num>
  <w:num w:numId="95">
    <w:abstractNumId w:val="120"/>
  </w:num>
  <w:num w:numId="101">
    <w:abstractNumId w:val="114"/>
  </w:num>
  <w:num w:numId="104">
    <w:abstractNumId w:val="108"/>
  </w:num>
  <w:num w:numId="125">
    <w:abstractNumId w:val="102"/>
  </w:num>
  <w:num w:numId="127">
    <w:abstractNumId w:val="96"/>
  </w:num>
  <w:num w:numId="136">
    <w:abstractNumId w:val="90"/>
  </w:num>
  <w:num w:numId="138">
    <w:abstractNumId w:val="84"/>
  </w:num>
  <w:num w:numId="140">
    <w:abstractNumId w:val="78"/>
  </w:num>
  <w:num w:numId="145">
    <w:abstractNumId w:val="72"/>
  </w:num>
  <w:num w:numId="147">
    <w:abstractNumId w:val="66"/>
  </w:num>
  <w:num w:numId="153">
    <w:abstractNumId w:val="60"/>
  </w:num>
  <w:num w:numId="155">
    <w:abstractNumId w:val="54"/>
  </w:num>
  <w:num w:numId="161">
    <w:abstractNumId w:val="48"/>
  </w:num>
  <w:num w:numId="163">
    <w:abstractNumId w:val="42"/>
  </w:num>
  <w:num w:numId="165">
    <w:abstractNumId w:val="36"/>
  </w:num>
  <w:num w:numId="167">
    <w:abstractNumId w:val="30"/>
  </w:num>
  <w:num w:numId="177">
    <w:abstractNumId w:val="24"/>
  </w:num>
  <w:num w:numId="179">
    <w:abstractNumId w:val="18"/>
  </w:num>
  <w:num w:numId="231">
    <w:abstractNumId w:val="12"/>
  </w:num>
  <w:num w:numId="249">
    <w:abstractNumId w:val="6"/>
  </w:num>
  <w:num w:numId="3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rzedszkole1.kobylka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